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b w:val="1"/>
          <w:bCs w:val="1"/>
          <w:outline w:val="0"/>
          <w:color w:val="212121"/>
          <w:sz w:val="26"/>
          <w:szCs w:val="26"/>
          <w:shd w:val="clear" w:color="auto" w:fill="ffffff"/>
          <w:rtl w:val="0"/>
          <w:lang w:val="en-US"/>
          <w14:textFill>
            <w14:solidFill>
              <w14:srgbClr w14:val="222222"/>
            </w14:solidFill>
          </w14:textFill>
        </w:rPr>
        <w:t>A copy of the email to PCC members from Revd Andrew Micklefield</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Dear all</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I have in my diary a PCC Meeting on Monday evening (14th December) at 6pm. </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 xml:space="preserve">I have not sent out an agenda for which I apologise. </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Thinking about it there is still little which needs our attention. Lockdown 2 and the subsequent tiering has meant that we have been somewhat curtailed.</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I suggest that we meet but informally and for a short time. </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I think it would be useful to have some updates if there is anything available on the following topics:</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Christmas Services &amp; </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January/February plan</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Finances of the Parish</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Building updates</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General Synod, Diocesan Synod and Deanery Synod</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Futures Group</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fr-FR"/>
          <w14:textFill>
            <w14:solidFill>
              <w14:srgbClr w14:val="222222"/>
            </w14:solidFill>
          </w14:textFill>
        </w:rPr>
        <w:t>Alpha Course</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Ministry Training - Wendy Burnhams, Robert Saunders, Julia Poole, John Ogden, Elspeth Mackeggie Gurney</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Celebration of what we have achieved since March 2020</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tl w:val="0"/>
        </w:rPr>
      </w:pPr>
      <w:r>
        <w:rPr>
          <w:rFonts w:ascii="Arial" w:hAnsi="Arial"/>
          <w:outline w:val="0"/>
          <w:color w:val="212121"/>
          <w:sz w:val="26"/>
          <w:szCs w:val="26"/>
          <w:shd w:val="clear" w:color="auto" w:fill="ffffff"/>
          <w:rtl w:val="0"/>
          <w:lang w:val="en-US"/>
          <w14:textFill>
            <w14:solidFill>
              <w14:srgbClr w14:val="222222"/>
            </w14:solidFill>
          </w14:textFill>
        </w:rPr>
        <w:t xml:space="preserve">Please do not worry if there is nothing to report and please do not worry if you cannot make this meeting or something else needs your attention on Monday evening. This is not a decision making PCC. </w:t>
      </w:r>
      <w:r>
        <w:rPr>
          <w:rFonts w:ascii="Arial" w:hAnsi="Arial" w:hint="default"/>
          <w:outline w:val="0"/>
          <w:color w:val="212121"/>
          <w:sz w:val="26"/>
          <w:szCs w:val="26"/>
          <w:shd w:val="clear" w:color="auto" w:fill="ffffff"/>
          <w:rtl w:val="0"/>
          <w14:textFill>
            <w14:solidFill>
              <w14:srgbClr w14:val="222222"/>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