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2E8CE" w14:textId="77777777" w:rsidR="005D2E68" w:rsidRPr="005D2E68" w:rsidRDefault="005D2E68" w:rsidP="005D2E68">
      <w:pPr>
        <w:pStyle w:val="NormalWeb"/>
        <w:spacing w:before="0" w:beforeAutospacing="0" w:after="0" w:afterAutospacing="0"/>
        <w:rPr>
          <w:rFonts w:ascii="Calibri" w:hAnsi="Calibri" w:cs="Calibri"/>
        </w:rPr>
      </w:pPr>
      <w:r w:rsidRPr="005D2E68">
        <w:rPr>
          <w:noProof/>
        </w:rPr>
        <w:drawing>
          <wp:anchor distT="0" distB="0" distL="114300" distR="114300" simplePos="0" relativeHeight="251658240" behindDoc="1" locked="0" layoutInCell="1" allowOverlap="1" wp14:anchorId="4B09CB07" wp14:editId="03F85469">
            <wp:simplePos x="0" y="0"/>
            <wp:positionH relativeFrom="column">
              <wp:posOffset>5080000</wp:posOffset>
            </wp:positionH>
            <wp:positionV relativeFrom="paragraph">
              <wp:posOffset>0</wp:posOffset>
            </wp:positionV>
            <wp:extent cx="911225" cy="1139190"/>
            <wp:effectExtent l="0" t="0" r="3175" b="3810"/>
            <wp:wrapTight wrapText="bothSides">
              <wp:wrapPolygon edited="0">
                <wp:start x="0" y="0"/>
                <wp:lineTo x="0" y="21311"/>
                <wp:lineTo x="21224" y="21311"/>
                <wp:lineTo x="21224" y="0"/>
                <wp:lineTo x="0" y="0"/>
              </wp:wrapPolygon>
            </wp:wrapTight>
            <wp:docPr id="1073741825" name="officeArt object" descr="alton resurrection logo 220909.jpg"/>
            <wp:cNvGraphicFramePr/>
            <a:graphic xmlns:a="http://schemas.openxmlformats.org/drawingml/2006/main">
              <a:graphicData uri="http://schemas.openxmlformats.org/drawingml/2006/picture">
                <pic:pic xmlns:pic="http://schemas.openxmlformats.org/drawingml/2006/picture">
                  <pic:nvPicPr>
                    <pic:cNvPr id="1073741825" name="officeArt object" descr="alton resurrection logo 22090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1225" cy="1139190"/>
                    </a:xfrm>
                    <a:prstGeom prst="rect">
                      <a:avLst/>
                    </a:prstGeom>
                    <a:ln w="12700" cap="flat">
                      <a:noFill/>
                      <a:miter lim="400000"/>
                    </a:ln>
                    <a:effectLst/>
                  </pic:spPr>
                </pic:pic>
              </a:graphicData>
            </a:graphic>
          </wp:anchor>
        </w:drawing>
      </w:r>
    </w:p>
    <w:p w14:paraId="5E2150E0" w14:textId="4252D3C4" w:rsidR="006B788E" w:rsidRPr="005D2E68" w:rsidRDefault="006B788E" w:rsidP="005D2E68">
      <w:pPr>
        <w:pStyle w:val="NormalWeb"/>
        <w:spacing w:before="0" w:beforeAutospacing="0" w:after="0" w:afterAutospacing="0"/>
        <w:rPr>
          <w:sz w:val="40"/>
          <w:szCs w:val="40"/>
        </w:rPr>
      </w:pPr>
      <w:r w:rsidRPr="005D2E68">
        <w:rPr>
          <w:rFonts w:ascii="Calibri" w:hAnsi="Calibri" w:cs="Calibri"/>
          <w:sz w:val="40"/>
          <w:szCs w:val="40"/>
        </w:rPr>
        <w:t xml:space="preserve">Parish of the Resurrection, Alton (POTR) </w:t>
      </w:r>
    </w:p>
    <w:p w14:paraId="3F288DF2" w14:textId="77777777" w:rsidR="006B788E" w:rsidRPr="005D2E68" w:rsidRDefault="006B788E" w:rsidP="006B788E">
      <w:pPr>
        <w:pStyle w:val="NormalWeb"/>
        <w:rPr>
          <w:sz w:val="40"/>
          <w:szCs w:val="40"/>
        </w:rPr>
      </w:pPr>
      <w:r w:rsidRPr="005D2E68">
        <w:rPr>
          <w:rFonts w:ascii="Calibri" w:hAnsi="Calibri" w:cs="Calibri"/>
          <w:b/>
          <w:bCs/>
          <w:sz w:val="40"/>
          <w:szCs w:val="40"/>
        </w:rPr>
        <w:t xml:space="preserve">INVESTMENT POLICY </w:t>
      </w:r>
    </w:p>
    <w:p w14:paraId="11DA5E53" w14:textId="77777777" w:rsidR="006B788E" w:rsidRDefault="006B788E" w:rsidP="006B788E">
      <w:pPr>
        <w:pStyle w:val="NormalWeb"/>
      </w:pPr>
      <w:r>
        <w:rPr>
          <w:rFonts w:ascii="Calibri" w:hAnsi="Calibri" w:cs="Calibri"/>
        </w:rPr>
        <w:t xml:space="preserve">This policy covers: </w:t>
      </w:r>
    </w:p>
    <w:p w14:paraId="01614EBA" w14:textId="5D4F9F05" w:rsidR="006B788E" w:rsidRDefault="006B788E" w:rsidP="006B788E">
      <w:pPr>
        <w:pStyle w:val="NormalWeb"/>
        <w:rPr>
          <w:rFonts w:ascii="Calibri" w:hAnsi="Calibri" w:cs="Calibri"/>
        </w:rPr>
      </w:pPr>
      <w:r>
        <w:rPr>
          <w:rFonts w:ascii="Segoe UI Symbol" w:hAnsi="Segoe UI Symbol" w:cs="Segoe UI Symbol"/>
        </w:rPr>
        <w:t>➢</w:t>
      </w:r>
      <w:r>
        <w:rPr>
          <w:rFonts w:ascii="Wingdings" w:hAnsi="Wingdings"/>
        </w:rPr>
        <w:t xml:space="preserve"> </w:t>
      </w:r>
      <w:r>
        <w:rPr>
          <w:rFonts w:ascii="Calibri" w:hAnsi="Calibri" w:cs="Calibri"/>
        </w:rPr>
        <w:t>Investment Approach</w:t>
      </w:r>
      <w:r>
        <w:rPr>
          <w:rFonts w:ascii="Calibri" w:hAnsi="Calibri" w:cs="Calibri"/>
        </w:rPr>
        <w:br/>
      </w:r>
      <w:r>
        <w:rPr>
          <w:rFonts w:ascii="Segoe UI Symbol" w:hAnsi="Segoe UI Symbol" w:cs="Segoe UI Symbol"/>
        </w:rPr>
        <w:t>➢</w:t>
      </w:r>
      <w:r>
        <w:rPr>
          <w:rFonts w:ascii="Wingdings" w:hAnsi="Wingdings"/>
        </w:rPr>
        <w:t xml:space="preserve"> </w:t>
      </w:r>
      <w:r>
        <w:rPr>
          <w:rFonts w:ascii="Calibri" w:hAnsi="Calibri" w:cs="Calibri"/>
        </w:rPr>
        <w:t>How the funds are held within the accounting system</w:t>
      </w:r>
      <w:r>
        <w:rPr>
          <w:rFonts w:ascii="Calibri" w:hAnsi="Calibri" w:cs="Calibri"/>
        </w:rPr>
        <w:br/>
      </w:r>
      <w:r>
        <w:rPr>
          <w:rFonts w:ascii="Segoe UI Symbol" w:hAnsi="Segoe UI Symbol" w:cs="Segoe UI Symbol"/>
        </w:rPr>
        <w:t>➢</w:t>
      </w:r>
      <w:r>
        <w:rPr>
          <w:rFonts w:ascii="Wingdings" w:hAnsi="Wingdings"/>
        </w:rPr>
        <w:t xml:space="preserve"> </w:t>
      </w:r>
      <w:r>
        <w:rPr>
          <w:rFonts w:ascii="Calibri" w:hAnsi="Calibri" w:cs="Calibri"/>
        </w:rPr>
        <w:t xml:space="preserve">How the funds are invested with commercial institutions </w:t>
      </w:r>
    </w:p>
    <w:p w14:paraId="3691478D" w14:textId="77777777" w:rsidR="006B788E" w:rsidRPr="006B788E" w:rsidRDefault="006B788E" w:rsidP="006B788E">
      <w:pPr>
        <w:spacing w:before="100" w:beforeAutospacing="1" w:after="100" w:afterAutospacing="1"/>
        <w:rPr>
          <w:rFonts w:ascii="Times New Roman" w:eastAsia="Times New Roman" w:hAnsi="Times New Roman" w:cs="Times New Roman"/>
          <w:kern w:val="0"/>
          <w14:ligatures w14:val="none"/>
        </w:rPr>
      </w:pPr>
      <w:r w:rsidRPr="006B788E">
        <w:rPr>
          <w:rFonts w:ascii="Calibri" w:eastAsia="Times New Roman" w:hAnsi="Calibri" w:cs="Calibri"/>
          <w:b/>
          <w:bCs/>
          <w:kern w:val="0"/>
          <w14:ligatures w14:val="none"/>
        </w:rPr>
        <w:t xml:space="preserve">Investment Approach </w:t>
      </w:r>
    </w:p>
    <w:p w14:paraId="7E72AA56" w14:textId="12FFA64B" w:rsidR="006B788E" w:rsidRDefault="006B788E" w:rsidP="006B788E">
      <w:pPr>
        <w:spacing w:before="100" w:beforeAutospacing="1" w:after="100" w:afterAutospacing="1"/>
        <w:rPr>
          <w:rFonts w:ascii="Calibri" w:eastAsia="Times New Roman" w:hAnsi="Calibri" w:cs="Calibri"/>
          <w:kern w:val="0"/>
          <w14:ligatures w14:val="none"/>
        </w:rPr>
      </w:pPr>
      <w:r w:rsidRPr="006B788E">
        <w:rPr>
          <w:rFonts w:ascii="Calibri" w:eastAsia="Times New Roman" w:hAnsi="Calibri" w:cs="Calibri"/>
          <w:kern w:val="0"/>
          <w14:ligatures w14:val="none"/>
        </w:rPr>
        <w:t xml:space="preserve">POTR has a low-risk approach to investing excess funds that are not required for normal day- to-day activities. The Trustees of the charity have a joint duty of care to look after the funds and to ensure that they are safely invested. Only banks and buildings societies are used, and for each institution, the amount held does not exceed the </w:t>
      </w:r>
      <w:r w:rsidRPr="006B788E">
        <w:rPr>
          <w:rFonts w:ascii="Calibri" w:eastAsia="Times New Roman" w:hAnsi="Calibri" w:cs="Calibri"/>
          <w:color w:val="1E1E21"/>
          <w:kern w:val="0"/>
          <w:shd w:val="clear" w:color="auto" w:fill="FFFFFF"/>
          <w14:ligatures w14:val="none"/>
        </w:rPr>
        <w:t xml:space="preserve">Financial Services Compensation Scheme (FSCS) </w:t>
      </w:r>
      <w:r w:rsidRPr="006B788E">
        <w:rPr>
          <w:rFonts w:ascii="Calibri" w:eastAsia="Times New Roman" w:hAnsi="Calibri" w:cs="Calibri"/>
          <w:kern w:val="0"/>
          <w14:ligatures w14:val="none"/>
        </w:rPr>
        <w:t xml:space="preserve">limit of £85k. </w:t>
      </w:r>
    </w:p>
    <w:p w14:paraId="749B501A" w14:textId="61B6FBAF" w:rsidR="006E3641" w:rsidRDefault="006153E5" w:rsidP="006B788E">
      <w:pPr>
        <w:spacing w:before="100" w:beforeAutospacing="1" w:after="100" w:afterAutospacing="1"/>
        <w:rPr>
          <w:rFonts w:ascii="Calibri" w:eastAsia="Times New Roman" w:hAnsi="Calibri" w:cs="Calibri"/>
          <w:kern w:val="0"/>
          <w14:ligatures w14:val="none"/>
        </w:rPr>
      </w:pPr>
      <w:r w:rsidRPr="006153E5">
        <w:rPr>
          <w:rFonts w:ascii="Calibri" w:eastAsia="Times New Roman" w:hAnsi="Calibri" w:cs="Calibri"/>
          <w:kern w:val="0"/>
          <w14:ligatures w14:val="none"/>
        </w:rPr>
        <w:t xml:space="preserve">When reviewing the </w:t>
      </w:r>
      <w:proofErr w:type="gramStart"/>
      <w:r w:rsidRPr="006153E5">
        <w:rPr>
          <w:rFonts w:ascii="Calibri" w:eastAsia="Times New Roman" w:hAnsi="Calibri" w:cs="Calibri"/>
          <w:kern w:val="0"/>
          <w14:ligatures w14:val="none"/>
        </w:rPr>
        <w:t>investments</w:t>
      </w:r>
      <w:proofErr w:type="gramEnd"/>
      <w:r w:rsidRPr="006153E5">
        <w:rPr>
          <w:rFonts w:ascii="Calibri" w:eastAsia="Times New Roman" w:hAnsi="Calibri" w:cs="Calibri"/>
          <w:kern w:val="0"/>
          <w14:ligatures w14:val="none"/>
        </w:rPr>
        <w:t xml:space="preserve"> the Treasurer will ask the PCC to approve any changes to the arrangements outlined below.</w:t>
      </w:r>
      <w:r w:rsidR="00915BCA">
        <w:rPr>
          <w:rFonts w:ascii="Calibri" w:eastAsia="Times New Roman" w:hAnsi="Calibri" w:cs="Calibri"/>
          <w:kern w:val="0"/>
          <w14:ligatures w14:val="none"/>
        </w:rPr>
        <w:t xml:space="preserve"> Once approved the Treasurer can move the money involved.</w:t>
      </w:r>
      <w:r w:rsidR="00685722">
        <w:rPr>
          <w:rFonts w:ascii="Calibri" w:eastAsia="Times New Roman" w:hAnsi="Calibri" w:cs="Calibri"/>
          <w:kern w:val="0"/>
          <w14:ligatures w14:val="none"/>
        </w:rPr>
        <w:t xml:space="preserve"> The Treasurer will review investments at least annually.</w:t>
      </w:r>
    </w:p>
    <w:p w14:paraId="3DF37463" w14:textId="3C87F2A4" w:rsidR="00685722" w:rsidRPr="006153E5" w:rsidRDefault="00685722" w:rsidP="006B788E">
      <w:pPr>
        <w:spacing w:before="100" w:beforeAutospacing="1" w:after="100" w:afterAutospacing="1"/>
        <w:rPr>
          <w:rFonts w:ascii="Calibri" w:eastAsia="Times New Roman" w:hAnsi="Calibri" w:cs="Calibri"/>
          <w:kern w:val="0"/>
          <w14:ligatures w14:val="none"/>
        </w:rPr>
      </w:pPr>
      <w:r>
        <w:rPr>
          <w:rFonts w:ascii="Calibri" w:eastAsia="Times New Roman" w:hAnsi="Calibri" w:cs="Calibri"/>
          <w:kern w:val="0"/>
          <w14:ligatures w14:val="none"/>
        </w:rPr>
        <w:t>POTR needs to balance the duty to maximise investments against being able to access the money in line with the needs of the Parish.</w:t>
      </w:r>
    </w:p>
    <w:p w14:paraId="0FFD9557" w14:textId="77777777" w:rsidR="006B788E" w:rsidRPr="006B788E" w:rsidRDefault="006B788E" w:rsidP="006B788E">
      <w:pPr>
        <w:spacing w:before="100" w:beforeAutospacing="1" w:after="100" w:afterAutospacing="1"/>
        <w:rPr>
          <w:rFonts w:ascii="Times New Roman" w:eastAsia="Times New Roman" w:hAnsi="Times New Roman" w:cs="Times New Roman"/>
          <w:kern w:val="0"/>
          <w14:ligatures w14:val="none"/>
        </w:rPr>
      </w:pPr>
      <w:r w:rsidRPr="006B788E">
        <w:rPr>
          <w:rFonts w:ascii="Calibri" w:eastAsia="Times New Roman" w:hAnsi="Calibri" w:cs="Calibri"/>
          <w:b/>
          <w:bCs/>
          <w:kern w:val="0"/>
          <w14:ligatures w14:val="none"/>
        </w:rPr>
        <w:t xml:space="preserve">Accounting Practice </w:t>
      </w:r>
    </w:p>
    <w:p w14:paraId="0E56D3E5" w14:textId="410350EA" w:rsidR="006B788E" w:rsidRDefault="006B788E" w:rsidP="006B788E">
      <w:pPr>
        <w:spacing w:before="100" w:beforeAutospacing="1" w:after="100" w:afterAutospacing="1"/>
        <w:rPr>
          <w:rFonts w:ascii="Calibri" w:eastAsia="Times New Roman" w:hAnsi="Calibri" w:cs="Calibri"/>
          <w:kern w:val="0"/>
          <w14:ligatures w14:val="none"/>
        </w:rPr>
      </w:pPr>
      <w:r w:rsidRPr="006B788E">
        <w:rPr>
          <w:rFonts w:ascii="Calibri" w:eastAsia="Times New Roman" w:hAnsi="Calibri" w:cs="Calibri"/>
          <w:kern w:val="0"/>
          <w14:ligatures w14:val="none"/>
        </w:rPr>
        <w:t xml:space="preserve">Being a registered charity, POTR follows the Charity Commission SORP (Statement of Recommended Practice) guidelines that have been adopted by the Church of England. Within the accounts all monies are held in one of four different types of funds as follows: </w:t>
      </w:r>
    </w:p>
    <w:tbl>
      <w:tblPr>
        <w:tblStyle w:val="TableGrid"/>
        <w:tblW w:w="0" w:type="auto"/>
        <w:shd w:val="clear" w:color="auto" w:fill="D9D9D9" w:themeFill="background1" w:themeFillShade="D9"/>
        <w:tblLook w:val="04A0" w:firstRow="1" w:lastRow="0" w:firstColumn="1" w:lastColumn="0" w:noHBand="0" w:noVBand="1"/>
      </w:tblPr>
      <w:tblGrid>
        <w:gridCol w:w="2263"/>
        <w:gridCol w:w="6747"/>
      </w:tblGrid>
      <w:tr w:rsidR="006E3641" w14:paraId="6A3EEE02" w14:textId="77777777" w:rsidTr="006E3641">
        <w:tc>
          <w:tcPr>
            <w:tcW w:w="2263" w:type="dxa"/>
            <w:tcBorders>
              <w:bottom w:val="single" w:sz="4" w:space="0" w:color="auto"/>
            </w:tcBorders>
            <w:shd w:val="clear" w:color="auto" w:fill="D9D9D9" w:themeFill="background1" w:themeFillShade="D9"/>
          </w:tcPr>
          <w:p w14:paraId="1EFEE484" w14:textId="495EE38F" w:rsidR="006E3641" w:rsidRPr="006E3641" w:rsidRDefault="006E3641" w:rsidP="006B788E">
            <w:pPr>
              <w:spacing w:before="100" w:beforeAutospacing="1" w:after="100" w:afterAutospacing="1"/>
              <w:rPr>
                <w:rFonts w:ascii="Calibri" w:eastAsia="Times New Roman" w:hAnsi="Calibri" w:cs="Calibri"/>
                <w:kern w:val="0"/>
                <w14:ligatures w14:val="none"/>
              </w:rPr>
            </w:pPr>
            <w:r w:rsidRPr="006E3641">
              <w:rPr>
                <w:rFonts w:ascii="Calibri" w:eastAsia="Times New Roman" w:hAnsi="Calibri" w:cs="Calibri"/>
                <w:kern w:val="0"/>
                <w14:ligatures w14:val="none"/>
              </w:rPr>
              <w:t>Fund Type</w:t>
            </w:r>
          </w:p>
        </w:tc>
        <w:tc>
          <w:tcPr>
            <w:tcW w:w="6747" w:type="dxa"/>
            <w:tcBorders>
              <w:bottom w:val="single" w:sz="4" w:space="0" w:color="auto"/>
            </w:tcBorders>
            <w:shd w:val="clear" w:color="auto" w:fill="D9D9D9" w:themeFill="background1" w:themeFillShade="D9"/>
          </w:tcPr>
          <w:p w14:paraId="33915A38" w14:textId="252CE87F" w:rsidR="006E3641" w:rsidRDefault="006E3641" w:rsidP="006B788E">
            <w:pPr>
              <w:spacing w:before="100" w:beforeAutospacing="1" w:after="100" w:afterAutospacing="1"/>
              <w:rPr>
                <w:rFonts w:ascii="Calibri" w:eastAsia="Times New Roman" w:hAnsi="Calibri" w:cs="Calibri"/>
                <w:kern w:val="0"/>
                <w14:ligatures w14:val="none"/>
              </w:rPr>
            </w:pPr>
            <w:r w:rsidRPr="006E3641">
              <w:rPr>
                <w:rFonts w:ascii="Calibri" w:eastAsia="Times New Roman" w:hAnsi="Calibri" w:cs="Calibri"/>
                <w:kern w:val="0"/>
                <w14:ligatures w14:val="none"/>
              </w:rPr>
              <w:t>Description</w:t>
            </w:r>
          </w:p>
        </w:tc>
      </w:tr>
      <w:tr w:rsidR="006E3641" w14:paraId="60248EA3" w14:textId="77777777" w:rsidTr="006E3641">
        <w:tc>
          <w:tcPr>
            <w:tcW w:w="2263" w:type="dxa"/>
            <w:shd w:val="clear" w:color="auto" w:fill="auto"/>
          </w:tcPr>
          <w:p w14:paraId="0B3DB080" w14:textId="7AEEEA59" w:rsidR="006E3641" w:rsidRDefault="006E3641" w:rsidP="006B788E">
            <w:pPr>
              <w:spacing w:before="100" w:beforeAutospacing="1" w:after="100" w:afterAutospacing="1"/>
              <w:rPr>
                <w:rFonts w:ascii="Calibri" w:eastAsia="Times New Roman" w:hAnsi="Calibri" w:cs="Calibri"/>
                <w:kern w:val="0"/>
                <w14:ligatures w14:val="none"/>
              </w:rPr>
            </w:pPr>
            <w:r>
              <w:rPr>
                <w:rFonts w:ascii="Calibri" w:eastAsia="Times New Roman" w:hAnsi="Calibri" w:cs="Calibri"/>
                <w:kern w:val="0"/>
                <w14:ligatures w14:val="none"/>
              </w:rPr>
              <w:t>Unrestricted</w:t>
            </w:r>
          </w:p>
        </w:tc>
        <w:tc>
          <w:tcPr>
            <w:tcW w:w="6747" w:type="dxa"/>
            <w:shd w:val="clear" w:color="auto" w:fill="auto"/>
          </w:tcPr>
          <w:p w14:paraId="58A8D5F2" w14:textId="65DBAE47" w:rsidR="006E3641" w:rsidRDefault="006E3641" w:rsidP="006B788E">
            <w:pPr>
              <w:spacing w:before="100" w:beforeAutospacing="1" w:after="100" w:afterAutospacing="1"/>
              <w:rPr>
                <w:rFonts w:ascii="Calibri" w:eastAsia="Times New Roman" w:hAnsi="Calibri" w:cs="Calibri"/>
                <w:kern w:val="0"/>
                <w14:ligatures w14:val="none"/>
              </w:rPr>
            </w:pPr>
            <w:r w:rsidRPr="006B788E">
              <w:rPr>
                <w:rFonts w:ascii="Calibri" w:eastAsia="Times New Roman" w:hAnsi="Calibri" w:cs="Calibri"/>
                <w:kern w:val="0"/>
                <w14:ligatures w14:val="none"/>
              </w:rPr>
              <w:t>Monies received and used for the day-to-day activities of the parish</w:t>
            </w:r>
          </w:p>
        </w:tc>
      </w:tr>
      <w:tr w:rsidR="006E3641" w14:paraId="7A2FE86E" w14:textId="77777777" w:rsidTr="006E3641">
        <w:tc>
          <w:tcPr>
            <w:tcW w:w="2263" w:type="dxa"/>
            <w:shd w:val="clear" w:color="auto" w:fill="auto"/>
          </w:tcPr>
          <w:p w14:paraId="7580E85D" w14:textId="51D2AE6B" w:rsidR="006E3641" w:rsidRDefault="006E3641" w:rsidP="006B788E">
            <w:pPr>
              <w:spacing w:before="100" w:beforeAutospacing="1" w:after="100" w:afterAutospacing="1"/>
              <w:rPr>
                <w:rFonts w:ascii="Calibri" w:eastAsia="Times New Roman" w:hAnsi="Calibri" w:cs="Calibri"/>
                <w:kern w:val="0"/>
                <w14:ligatures w14:val="none"/>
              </w:rPr>
            </w:pPr>
            <w:r>
              <w:rPr>
                <w:rFonts w:ascii="Calibri" w:eastAsia="Times New Roman" w:hAnsi="Calibri" w:cs="Calibri"/>
                <w:kern w:val="0"/>
                <w14:ligatures w14:val="none"/>
              </w:rPr>
              <w:t>Unrestricted Designated</w:t>
            </w:r>
          </w:p>
        </w:tc>
        <w:tc>
          <w:tcPr>
            <w:tcW w:w="6747" w:type="dxa"/>
            <w:shd w:val="clear" w:color="auto" w:fill="auto"/>
          </w:tcPr>
          <w:p w14:paraId="6D5F403A" w14:textId="6B5600E1" w:rsidR="006E3641" w:rsidRPr="006E3641" w:rsidRDefault="006E3641" w:rsidP="006E3641">
            <w:pPr>
              <w:spacing w:before="100" w:beforeAutospacing="1" w:after="100" w:afterAutospacing="1"/>
              <w:rPr>
                <w:rFonts w:ascii="Times New Roman" w:eastAsia="Times New Roman" w:hAnsi="Times New Roman" w:cs="Times New Roman"/>
                <w:kern w:val="0"/>
                <w14:ligatures w14:val="none"/>
              </w:rPr>
            </w:pPr>
            <w:r w:rsidRPr="006B788E">
              <w:rPr>
                <w:rFonts w:ascii="Calibri" w:eastAsia="Times New Roman" w:hAnsi="Calibri" w:cs="Calibri"/>
                <w:kern w:val="0"/>
                <w14:ligatures w14:val="none"/>
              </w:rPr>
              <w:t xml:space="preserve">Monies received that the PCC has allocated for a particular purpose </w:t>
            </w:r>
          </w:p>
        </w:tc>
      </w:tr>
      <w:tr w:rsidR="006E3641" w14:paraId="3B69F3CE" w14:textId="77777777" w:rsidTr="006E3641">
        <w:tc>
          <w:tcPr>
            <w:tcW w:w="2263" w:type="dxa"/>
            <w:shd w:val="clear" w:color="auto" w:fill="auto"/>
          </w:tcPr>
          <w:p w14:paraId="1AF4AB71" w14:textId="18BF8036" w:rsidR="006E3641" w:rsidRDefault="006E3641" w:rsidP="006B788E">
            <w:pPr>
              <w:spacing w:before="100" w:beforeAutospacing="1" w:after="100" w:afterAutospacing="1"/>
              <w:rPr>
                <w:rFonts w:ascii="Calibri" w:eastAsia="Times New Roman" w:hAnsi="Calibri" w:cs="Calibri"/>
                <w:kern w:val="0"/>
                <w14:ligatures w14:val="none"/>
              </w:rPr>
            </w:pPr>
            <w:r>
              <w:rPr>
                <w:rFonts w:ascii="Calibri" w:eastAsia="Times New Roman" w:hAnsi="Calibri" w:cs="Calibri"/>
                <w:kern w:val="0"/>
                <w14:ligatures w14:val="none"/>
              </w:rPr>
              <w:t>Restricted</w:t>
            </w:r>
          </w:p>
        </w:tc>
        <w:tc>
          <w:tcPr>
            <w:tcW w:w="6747" w:type="dxa"/>
            <w:shd w:val="clear" w:color="auto" w:fill="auto"/>
          </w:tcPr>
          <w:p w14:paraId="3761BBAF" w14:textId="075DAF0D" w:rsidR="006E3641" w:rsidRPr="006E3641" w:rsidRDefault="006E3641" w:rsidP="006E3641">
            <w:pPr>
              <w:spacing w:before="100" w:beforeAutospacing="1" w:after="100" w:afterAutospacing="1"/>
              <w:rPr>
                <w:rFonts w:ascii="Times New Roman" w:eastAsia="Times New Roman" w:hAnsi="Times New Roman" w:cs="Times New Roman"/>
                <w:kern w:val="0"/>
                <w14:ligatures w14:val="none"/>
              </w:rPr>
            </w:pPr>
            <w:r w:rsidRPr="006B788E">
              <w:rPr>
                <w:rFonts w:ascii="Calibri" w:eastAsia="Times New Roman" w:hAnsi="Calibri" w:cs="Calibri"/>
                <w:kern w:val="0"/>
                <w14:ligatures w14:val="none"/>
              </w:rPr>
              <w:t xml:space="preserve">Monies </w:t>
            </w:r>
            <w:r>
              <w:rPr>
                <w:rFonts w:ascii="Calibri" w:eastAsia="Times New Roman" w:hAnsi="Calibri" w:cs="Calibri"/>
                <w:kern w:val="0"/>
                <w14:ligatures w14:val="none"/>
              </w:rPr>
              <w:t>received where the donor has specified them to be used for a specific</w:t>
            </w:r>
            <w:r w:rsidRPr="006B788E">
              <w:rPr>
                <w:rFonts w:ascii="Calibri" w:eastAsia="Times New Roman" w:hAnsi="Calibri" w:cs="Calibri"/>
                <w:kern w:val="0"/>
                <w14:ligatures w14:val="none"/>
              </w:rPr>
              <w:t xml:space="preserve"> purpose </w:t>
            </w:r>
          </w:p>
        </w:tc>
      </w:tr>
      <w:tr w:rsidR="006E3641" w14:paraId="435F0022" w14:textId="77777777" w:rsidTr="006E3641">
        <w:tc>
          <w:tcPr>
            <w:tcW w:w="2263" w:type="dxa"/>
            <w:shd w:val="clear" w:color="auto" w:fill="auto"/>
          </w:tcPr>
          <w:p w14:paraId="6ABAE765" w14:textId="689E4C25" w:rsidR="006E3641" w:rsidRDefault="006E3641" w:rsidP="006B788E">
            <w:pPr>
              <w:spacing w:before="100" w:beforeAutospacing="1" w:after="100" w:afterAutospacing="1"/>
              <w:rPr>
                <w:rFonts w:ascii="Calibri" w:eastAsia="Times New Roman" w:hAnsi="Calibri" w:cs="Calibri"/>
                <w:kern w:val="0"/>
                <w14:ligatures w14:val="none"/>
              </w:rPr>
            </w:pPr>
            <w:r>
              <w:rPr>
                <w:rFonts w:ascii="Calibri" w:eastAsia="Times New Roman" w:hAnsi="Calibri" w:cs="Calibri"/>
                <w:kern w:val="0"/>
                <w14:ligatures w14:val="none"/>
              </w:rPr>
              <w:t>Endowment</w:t>
            </w:r>
          </w:p>
        </w:tc>
        <w:tc>
          <w:tcPr>
            <w:tcW w:w="6747" w:type="dxa"/>
            <w:shd w:val="clear" w:color="auto" w:fill="auto"/>
          </w:tcPr>
          <w:p w14:paraId="1F4C0B6C" w14:textId="44C1B409" w:rsidR="006E3641" w:rsidRDefault="006E3641" w:rsidP="006B788E">
            <w:pPr>
              <w:spacing w:before="100" w:beforeAutospacing="1" w:after="100" w:afterAutospacing="1"/>
              <w:rPr>
                <w:rFonts w:ascii="Calibri" w:eastAsia="Times New Roman" w:hAnsi="Calibri" w:cs="Calibri"/>
                <w:kern w:val="0"/>
                <w14:ligatures w14:val="none"/>
              </w:rPr>
            </w:pPr>
            <w:r w:rsidRPr="006B788E">
              <w:rPr>
                <w:rFonts w:ascii="Calibri" w:eastAsia="Times New Roman" w:hAnsi="Calibri" w:cs="Calibri"/>
                <w:kern w:val="0"/>
                <w14:ligatures w14:val="none"/>
              </w:rPr>
              <w:t>Monies received for longer term retention. The capital may be permanent or expendable and its use either unrestricted or restricted.</w:t>
            </w:r>
          </w:p>
        </w:tc>
      </w:tr>
    </w:tbl>
    <w:p w14:paraId="03BE0BEA" w14:textId="721608C2" w:rsidR="006B788E" w:rsidRDefault="006B788E" w:rsidP="006B788E">
      <w:pPr>
        <w:spacing w:before="100" w:beforeAutospacing="1" w:after="100" w:afterAutospacing="1"/>
        <w:rPr>
          <w:rFonts w:ascii="Calibri" w:eastAsia="Times New Roman" w:hAnsi="Calibri" w:cs="Calibri"/>
          <w:kern w:val="0"/>
          <w14:ligatures w14:val="none"/>
        </w:rPr>
      </w:pPr>
      <w:r w:rsidRPr="006B788E">
        <w:rPr>
          <w:rFonts w:ascii="Calibri" w:eastAsia="Times New Roman" w:hAnsi="Calibri" w:cs="Calibri"/>
          <w:kern w:val="0"/>
          <w14:ligatures w14:val="none"/>
        </w:rPr>
        <w:t>The Finance</w:t>
      </w:r>
      <w:r w:rsidR="006153E5">
        <w:rPr>
          <w:rFonts w:ascii="Calibri" w:eastAsia="Times New Roman" w:hAnsi="Calibri" w:cs="Calibri"/>
          <w:kern w:val="0"/>
          <w14:ligatures w14:val="none"/>
        </w:rPr>
        <w:t xml:space="preserve"> + Admin</w:t>
      </w:r>
      <w:r w:rsidRPr="006B788E">
        <w:rPr>
          <w:rFonts w:ascii="Calibri" w:eastAsia="Times New Roman" w:hAnsi="Calibri" w:cs="Calibri"/>
          <w:kern w:val="0"/>
          <w14:ligatures w14:val="none"/>
        </w:rPr>
        <w:t xml:space="preserve"> Committee will </w:t>
      </w:r>
      <w:r w:rsidR="006153E5">
        <w:rPr>
          <w:rFonts w:ascii="Calibri" w:eastAsia="Times New Roman" w:hAnsi="Calibri" w:cs="Calibri"/>
          <w:kern w:val="0"/>
          <w14:ligatures w14:val="none"/>
        </w:rPr>
        <w:t>review</w:t>
      </w:r>
      <w:r w:rsidRPr="006B788E">
        <w:rPr>
          <w:rFonts w:ascii="Calibri" w:eastAsia="Times New Roman" w:hAnsi="Calibri" w:cs="Calibri"/>
          <w:kern w:val="0"/>
          <w14:ligatures w14:val="none"/>
        </w:rPr>
        <w:t xml:space="preserve"> this policy </w:t>
      </w:r>
      <w:r w:rsidR="006153E5">
        <w:rPr>
          <w:rFonts w:ascii="Calibri" w:eastAsia="Times New Roman" w:hAnsi="Calibri" w:cs="Calibri"/>
          <w:kern w:val="0"/>
          <w14:ligatures w14:val="none"/>
        </w:rPr>
        <w:t xml:space="preserve">every 5 years and in between </w:t>
      </w:r>
      <w:proofErr w:type="gramStart"/>
      <w:r w:rsidR="006153E5">
        <w:rPr>
          <w:rFonts w:ascii="Calibri" w:eastAsia="Times New Roman" w:hAnsi="Calibri" w:cs="Calibri"/>
          <w:kern w:val="0"/>
          <w14:ligatures w14:val="none"/>
        </w:rPr>
        <w:t xml:space="preserve">should </w:t>
      </w:r>
      <w:r w:rsidRPr="006B788E">
        <w:rPr>
          <w:rFonts w:ascii="Calibri" w:eastAsia="Times New Roman" w:hAnsi="Calibri" w:cs="Calibri"/>
          <w:kern w:val="0"/>
          <w14:ligatures w14:val="none"/>
        </w:rPr>
        <w:t xml:space="preserve"> circumstances</w:t>
      </w:r>
      <w:proofErr w:type="gramEnd"/>
      <w:r w:rsidRPr="006B788E">
        <w:rPr>
          <w:rFonts w:ascii="Calibri" w:eastAsia="Times New Roman" w:hAnsi="Calibri" w:cs="Calibri"/>
          <w:kern w:val="0"/>
          <w14:ligatures w14:val="none"/>
        </w:rPr>
        <w:t xml:space="preserve"> change. For example, where interest rates change or where the receipt of a substantial legacy or endowment may make it appropriate to consider an alternative </w:t>
      </w:r>
      <w:r w:rsidRPr="006B788E">
        <w:rPr>
          <w:rFonts w:ascii="Calibri" w:eastAsia="Times New Roman" w:hAnsi="Calibri" w:cs="Calibri"/>
          <w:kern w:val="0"/>
          <w14:ligatures w14:val="none"/>
        </w:rPr>
        <w:lastRenderedPageBreak/>
        <w:t xml:space="preserve">investment product. In such a case it is POTR policy to seek professional advice before committing to non-cash investment product. </w:t>
      </w:r>
    </w:p>
    <w:p w14:paraId="525ADE35" w14:textId="6254C152" w:rsidR="006153E5" w:rsidRPr="006153E5" w:rsidRDefault="006153E5" w:rsidP="006B788E">
      <w:pPr>
        <w:spacing w:before="100" w:beforeAutospacing="1" w:after="100" w:afterAutospacing="1"/>
        <w:rPr>
          <w:rFonts w:ascii="Calibri" w:eastAsia="Times New Roman" w:hAnsi="Calibri" w:cs="Calibri"/>
          <w:b/>
          <w:bCs/>
          <w:kern w:val="0"/>
          <w14:ligatures w14:val="none"/>
        </w:rPr>
      </w:pPr>
      <w:r w:rsidRPr="006153E5">
        <w:rPr>
          <w:rFonts w:ascii="Calibri" w:eastAsia="Times New Roman" w:hAnsi="Calibri" w:cs="Calibri"/>
          <w:b/>
          <w:bCs/>
          <w:kern w:val="0"/>
          <w14:ligatures w14:val="none"/>
        </w:rPr>
        <w:t>Ethical Investments</w:t>
      </w:r>
    </w:p>
    <w:p w14:paraId="68895994" w14:textId="68AD8AD5" w:rsidR="006153E5" w:rsidRPr="006B788E" w:rsidRDefault="006153E5" w:rsidP="006B788E">
      <w:pPr>
        <w:spacing w:before="100" w:beforeAutospacing="1" w:after="100" w:afterAutospacing="1"/>
        <w:rPr>
          <w:rFonts w:ascii="Times New Roman" w:eastAsia="Times New Roman" w:hAnsi="Times New Roman" w:cs="Times New Roman"/>
          <w:kern w:val="0"/>
          <w14:ligatures w14:val="none"/>
        </w:rPr>
      </w:pPr>
      <w:r>
        <w:rPr>
          <w:rFonts w:ascii="Calibri" w:eastAsia="Times New Roman" w:hAnsi="Calibri" w:cs="Calibri"/>
          <w:kern w:val="0"/>
          <w14:ligatures w14:val="none"/>
        </w:rPr>
        <w:t xml:space="preserve">POTR intends to invest ethically, being aware of social injustice and environmental sustainability. It will work to avoid investing in coal and oil industries, the tobacco </w:t>
      </w:r>
      <w:proofErr w:type="gramStart"/>
      <w:r>
        <w:rPr>
          <w:rFonts w:ascii="Calibri" w:eastAsia="Times New Roman" w:hAnsi="Calibri" w:cs="Calibri"/>
          <w:kern w:val="0"/>
          <w14:ligatures w14:val="none"/>
        </w:rPr>
        <w:t>industry</w:t>
      </w:r>
      <w:proofErr w:type="gramEnd"/>
      <w:r>
        <w:rPr>
          <w:rFonts w:ascii="Calibri" w:eastAsia="Times New Roman" w:hAnsi="Calibri" w:cs="Calibri"/>
          <w:kern w:val="0"/>
          <w14:ligatures w14:val="none"/>
        </w:rPr>
        <w:t xml:space="preserve"> and the arms industry</w:t>
      </w:r>
      <w:r w:rsidR="00685722">
        <w:rPr>
          <w:rFonts w:ascii="Calibri" w:eastAsia="Times New Roman" w:hAnsi="Calibri" w:cs="Calibri"/>
          <w:kern w:val="0"/>
          <w14:ligatures w14:val="none"/>
        </w:rPr>
        <w:t>, taking a steer from the Church Commissioners</w:t>
      </w:r>
    </w:p>
    <w:p w14:paraId="2CDBD17F" w14:textId="5273745D" w:rsidR="006B788E" w:rsidRPr="006B788E" w:rsidRDefault="006B788E" w:rsidP="006B788E">
      <w:pPr>
        <w:spacing w:before="100" w:beforeAutospacing="1" w:after="100" w:afterAutospacing="1"/>
        <w:rPr>
          <w:rFonts w:ascii="Times New Roman" w:eastAsia="Times New Roman" w:hAnsi="Times New Roman" w:cs="Times New Roman"/>
          <w:kern w:val="0"/>
          <w14:ligatures w14:val="none"/>
        </w:rPr>
      </w:pPr>
      <w:r w:rsidRPr="006B788E">
        <w:rPr>
          <w:rFonts w:ascii="Calibri" w:eastAsia="Times New Roman" w:hAnsi="Calibri" w:cs="Calibri"/>
          <w:kern w:val="0"/>
          <w14:ligatures w14:val="none"/>
        </w:rPr>
        <w:t>Signed on behalf of the POTR Finance</w:t>
      </w:r>
      <w:r w:rsidR="006153E5">
        <w:rPr>
          <w:rFonts w:ascii="Calibri" w:eastAsia="Times New Roman" w:hAnsi="Calibri" w:cs="Calibri"/>
          <w:kern w:val="0"/>
          <w14:ligatures w14:val="none"/>
        </w:rPr>
        <w:t xml:space="preserve"> + Admin</w:t>
      </w:r>
      <w:r w:rsidRPr="006B788E">
        <w:rPr>
          <w:rFonts w:ascii="Calibri" w:eastAsia="Times New Roman" w:hAnsi="Calibri" w:cs="Calibri"/>
          <w:kern w:val="0"/>
          <w14:ligatures w14:val="none"/>
        </w:rPr>
        <w:t xml:space="preserve"> Committee </w:t>
      </w:r>
    </w:p>
    <w:p w14:paraId="22F06274" w14:textId="77777777" w:rsidR="006153E5" w:rsidRDefault="006153E5" w:rsidP="006B788E">
      <w:pPr>
        <w:spacing w:before="100" w:beforeAutospacing="1" w:after="100" w:afterAutospacing="1"/>
        <w:rPr>
          <w:rFonts w:ascii="Calibri" w:eastAsia="Times New Roman" w:hAnsi="Calibri" w:cs="Calibri"/>
          <w:kern w:val="0"/>
          <w14:ligatures w14:val="none"/>
        </w:rPr>
      </w:pPr>
    </w:p>
    <w:p w14:paraId="739DFDAE" w14:textId="7B73C242" w:rsidR="006153E5" w:rsidRDefault="006B788E" w:rsidP="006B788E">
      <w:pPr>
        <w:spacing w:before="100" w:beforeAutospacing="1" w:after="100" w:afterAutospacing="1"/>
        <w:rPr>
          <w:rFonts w:ascii="Calibri" w:eastAsia="Times New Roman" w:hAnsi="Calibri" w:cs="Calibri"/>
          <w:kern w:val="0"/>
          <w14:ligatures w14:val="none"/>
        </w:rPr>
      </w:pPr>
      <w:r w:rsidRPr="006B788E">
        <w:rPr>
          <w:rFonts w:ascii="Calibri" w:eastAsia="Times New Roman" w:hAnsi="Calibri" w:cs="Calibri"/>
          <w:kern w:val="0"/>
          <w14:ligatures w14:val="none"/>
        </w:rPr>
        <w:t>Rev’d Andrew Micklefield</w:t>
      </w:r>
    </w:p>
    <w:p w14:paraId="736B1AE0" w14:textId="77777777" w:rsidR="006153E5" w:rsidRDefault="006153E5" w:rsidP="006B788E">
      <w:pPr>
        <w:spacing w:before="100" w:beforeAutospacing="1" w:after="100" w:afterAutospacing="1"/>
        <w:rPr>
          <w:rFonts w:ascii="Calibri" w:eastAsia="Times New Roman" w:hAnsi="Calibri" w:cs="Calibri"/>
          <w:kern w:val="0"/>
          <w14:ligatures w14:val="none"/>
        </w:rPr>
      </w:pPr>
    </w:p>
    <w:p w14:paraId="3F2382F1" w14:textId="7AFDB502" w:rsidR="006B788E" w:rsidRPr="006B788E" w:rsidRDefault="006153E5" w:rsidP="006153E5">
      <w:pPr>
        <w:spacing w:before="100" w:beforeAutospacing="1" w:after="100" w:afterAutospacing="1"/>
        <w:rPr>
          <w:rFonts w:ascii="Times New Roman" w:eastAsia="Times New Roman" w:hAnsi="Times New Roman" w:cs="Times New Roman"/>
          <w:kern w:val="0"/>
          <w14:ligatures w14:val="none"/>
        </w:rPr>
      </w:pPr>
      <w:r>
        <w:rPr>
          <w:rFonts w:ascii="Calibri" w:eastAsia="Times New Roman" w:hAnsi="Calibri" w:cs="Calibri"/>
          <w:kern w:val="0"/>
          <w14:ligatures w14:val="none"/>
        </w:rPr>
        <w:t>Helen Walters</w:t>
      </w:r>
      <w:r w:rsidR="006B788E" w:rsidRPr="006B788E">
        <w:rPr>
          <w:rFonts w:ascii="Calibri" w:eastAsia="Times New Roman" w:hAnsi="Calibri" w:cs="Calibri"/>
          <w:kern w:val="0"/>
          <w14:ligatures w14:val="none"/>
        </w:rPr>
        <w:t xml:space="preserve"> - Chair </w:t>
      </w:r>
    </w:p>
    <w:p w14:paraId="0559DE4F" w14:textId="707B6B55" w:rsidR="006B788E" w:rsidRDefault="006153E5" w:rsidP="006153E5">
      <w:pPr>
        <w:spacing w:before="100" w:beforeAutospacing="1" w:after="100" w:afterAutospacing="1"/>
        <w:rPr>
          <w:rFonts w:ascii="Calibri" w:eastAsia="Times New Roman" w:hAnsi="Calibri" w:cs="Calibri"/>
          <w:kern w:val="0"/>
          <w14:ligatures w14:val="none"/>
        </w:rPr>
      </w:pPr>
      <w:r>
        <w:rPr>
          <w:rFonts w:ascii="Calibri" w:eastAsia="Times New Roman" w:hAnsi="Calibri" w:cs="Calibri"/>
          <w:kern w:val="0"/>
          <w14:ligatures w14:val="none"/>
        </w:rPr>
        <w:t>Date of Review: May 2023</w:t>
      </w:r>
    </w:p>
    <w:p w14:paraId="4B263E8C" w14:textId="313FE653" w:rsidR="006153E5" w:rsidRPr="006153E5" w:rsidRDefault="006153E5" w:rsidP="006153E5">
      <w:pPr>
        <w:spacing w:before="100" w:beforeAutospacing="1" w:after="100" w:afterAutospacing="1"/>
        <w:rPr>
          <w:rFonts w:ascii="Calibri" w:eastAsia="Times New Roman" w:hAnsi="Calibri" w:cs="Calibri"/>
          <w:kern w:val="0"/>
          <w14:ligatures w14:val="none"/>
        </w:rPr>
      </w:pPr>
      <w:r>
        <w:rPr>
          <w:rFonts w:ascii="Calibri" w:eastAsia="Times New Roman" w:hAnsi="Calibri" w:cs="Calibri"/>
          <w:kern w:val="0"/>
          <w14:ligatures w14:val="none"/>
        </w:rPr>
        <w:t>Next Due for Review: May 2028</w:t>
      </w:r>
    </w:p>
    <w:p w14:paraId="52947A67" w14:textId="77777777" w:rsidR="006B788E" w:rsidRDefault="006B788E" w:rsidP="006B788E">
      <w:pPr>
        <w:pStyle w:val="NormalWeb"/>
      </w:pPr>
    </w:p>
    <w:p w14:paraId="1FCFD402" w14:textId="77777777" w:rsidR="00E9117A" w:rsidRDefault="00000000"/>
    <w:sectPr w:rsidR="00E9117A" w:rsidSect="005D2E68">
      <w:headerReference w:type="even" r:id="rId7"/>
      <w:headerReference w:type="default" r:id="rId8"/>
      <w:footerReference w:type="even" r:id="rId9"/>
      <w:footerReference w:type="default" r:id="rId10"/>
      <w:headerReference w:type="first" r:id="rId11"/>
      <w:footerReference w:type="first" r:id="rId12"/>
      <w:pgSz w:w="11900" w:h="16840"/>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7060B" w14:textId="77777777" w:rsidR="00581E4E" w:rsidRDefault="00581E4E" w:rsidP="006E3641">
      <w:r>
        <w:separator/>
      </w:r>
    </w:p>
  </w:endnote>
  <w:endnote w:type="continuationSeparator" w:id="0">
    <w:p w14:paraId="74D904E4" w14:textId="77777777" w:rsidR="00581E4E" w:rsidRDefault="00581E4E" w:rsidP="006E3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35686841"/>
      <w:docPartObj>
        <w:docPartGallery w:val="Page Numbers (Bottom of Page)"/>
        <w:docPartUnique/>
      </w:docPartObj>
    </w:sdtPr>
    <w:sdtContent>
      <w:p w14:paraId="4CF0C529" w14:textId="69728321" w:rsidR="006E3641" w:rsidRDefault="006E3641" w:rsidP="000734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BB491E" w14:textId="77777777" w:rsidR="006E3641" w:rsidRDefault="006E3641" w:rsidP="006E36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62994783"/>
      <w:docPartObj>
        <w:docPartGallery w:val="Page Numbers (Bottom of Page)"/>
        <w:docPartUnique/>
      </w:docPartObj>
    </w:sdtPr>
    <w:sdtContent>
      <w:p w14:paraId="66EE07F3" w14:textId="7079FD84" w:rsidR="006E3641" w:rsidRDefault="006E3641" w:rsidP="000734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A06EE3B" w14:textId="77777777" w:rsidR="006E3641" w:rsidRDefault="006E3641" w:rsidP="006E364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0674E" w14:textId="77777777" w:rsidR="00915BCA" w:rsidRDefault="00915B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F1B8B" w14:textId="77777777" w:rsidR="00581E4E" w:rsidRDefault="00581E4E" w:rsidP="006E3641">
      <w:r>
        <w:separator/>
      </w:r>
    </w:p>
  </w:footnote>
  <w:footnote w:type="continuationSeparator" w:id="0">
    <w:p w14:paraId="109B9A5A" w14:textId="77777777" w:rsidR="00581E4E" w:rsidRDefault="00581E4E" w:rsidP="006E3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BCA76" w14:textId="6A122A6B" w:rsidR="00915BCA" w:rsidRDefault="00915B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A3F03" w14:textId="55F24587" w:rsidR="00915BCA" w:rsidRDefault="00915B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584AD" w14:textId="2757B046" w:rsidR="00915BCA" w:rsidRDefault="00915B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88E"/>
    <w:rsid w:val="00150BF3"/>
    <w:rsid w:val="00331149"/>
    <w:rsid w:val="005248D4"/>
    <w:rsid w:val="00581E4E"/>
    <w:rsid w:val="005D2E68"/>
    <w:rsid w:val="005D45C0"/>
    <w:rsid w:val="0061468C"/>
    <w:rsid w:val="006153E5"/>
    <w:rsid w:val="00685722"/>
    <w:rsid w:val="006B788E"/>
    <w:rsid w:val="006E3641"/>
    <w:rsid w:val="00821579"/>
    <w:rsid w:val="008A2DEB"/>
    <w:rsid w:val="00915BCA"/>
    <w:rsid w:val="00A0576A"/>
    <w:rsid w:val="00C2648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67638E"/>
  <w15:chartTrackingRefBased/>
  <w15:docId w15:val="{EC1886F2-4B13-A34A-96CF-BBC3E9164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788E"/>
    <w:pPr>
      <w:spacing w:before="100" w:beforeAutospacing="1" w:after="100" w:afterAutospacing="1"/>
    </w:pPr>
    <w:rPr>
      <w:rFonts w:ascii="Times New Roman" w:eastAsia="Times New Roman" w:hAnsi="Times New Roman" w:cs="Times New Roman"/>
      <w:kern w:val="0"/>
      <w14:ligatures w14:val="none"/>
    </w:rPr>
  </w:style>
  <w:style w:type="table" w:styleId="TableGrid">
    <w:name w:val="Table Grid"/>
    <w:basedOn w:val="TableNormal"/>
    <w:uiPriority w:val="39"/>
    <w:rsid w:val="006E3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E3641"/>
    <w:pPr>
      <w:tabs>
        <w:tab w:val="center" w:pos="4513"/>
        <w:tab w:val="right" w:pos="9026"/>
      </w:tabs>
    </w:pPr>
  </w:style>
  <w:style w:type="character" w:customStyle="1" w:styleId="FooterChar">
    <w:name w:val="Footer Char"/>
    <w:basedOn w:val="DefaultParagraphFont"/>
    <w:link w:val="Footer"/>
    <w:uiPriority w:val="99"/>
    <w:rsid w:val="006E3641"/>
  </w:style>
  <w:style w:type="character" w:styleId="PageNumber">
    <w:name w:val="page number"/>
    <w:basedOn w:val="DefaultParagraphFont"/>
    <w:uiPriority w:val="99"/>
    <w:semiHidden/>
    <w:unhideWhenUsed/>
    <w:rsid w:val="006E3641"/>
  </w:style>
  <w:style w:type="paragraph" w:styleId="Header">
    <w:name w:val="header"/>
    <w:basedOn w:val="Normal"/>
    <w:link w:val="HeaderChar"/>
    <w:uiPriority w:val="99"/>
    <w:unhideWhenUsed/>
    <w:rsid w:val="00915BCA"/>
    <w:pPr>
      <w:tabs>
        <w:tab w:val="center" w:pos="4513"/>
        <w:tab w:val="right" w:pos="9026"/>
      </w:tabs>
    </w:pPr>
  </w:style>
  <w:style w:type="character" w:customStyle="1" w:styleId="HeaderChar">
    <w:name w:val="Header Char"/>
    <w:basedOn w:val="DefaultParagraphFont"/>
    <w:link w:val="Header"/>
    <w:uiPriority w:val="99"/>
    <w:rsid w:val="00915BCA"/>
  </w:style>
  <w:style w:type="paragraph" w:styleId="Revision">
    <w:name w:val="Revision"/>
    <w:hidden/>
    <w:uiPriority w:val="99"/>
    <w:semiHidden/>
    <w:rsid w:val="00685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032908">
      <w:bodyDiv w:val="1"/>
      <w:marLeft w:val="0"/>
      <w:marRight w:val="0"/>
      <w:marTop w:val="0"/>
      <w:marBottom w:val="0"/>
      <w:divBdr>
        <w:top w:val="none" w:sz="0" w:space="0" w:color="auto"/>
        <w:left w:val="none" w:sz="0" w:space="0" w:color="auto"/>
        <w:bottom w:val="none" w:sz="0" w:space="0" w:color="auto"/>
        <w:right w:val="none" w:sz="0" w:space="0" w:color="auto"/>
      </w:divBdr>
      <w:divsChild>
        <w:div w:id="500778719">
          <w:marLeft w:val="0"/>
          <w:marRight w:val="0"/>
          <w:marTop w:val="0"/>
          <w:marBottom w:val="0"/>
          <w:divBdr>
            <w:top w:val="none" w:sz="0" w:space="0" w:color="auto"/>
            <w:left w:val="none" w:sz="0" w:space="0" w:color="auto"/>
            <w:bottom w:val="none" w:sz="0" w:space="0" w:color="auto"/>
            <w:right w:val="none" w:sz="0" w:space="0" w:color="auto"/>
          </w:divBdr>
          <w:divsChild>
            <w:div w:id="763767311">
              <w:marLeft w:val="0"/>
              <w:marRight w:val="0"/>
              <w:marTop w:val="0"/>
              <w:marBottom w:val="0"/>
              <w:divBdr>
                <w:top w:val="none" w:sz="0" w:space="0" w:color="auto"/>
                <w:left w:val="none" w:sz="0" w:space="0" w:color="auto"/>
                <w:bottom w:val="none" w:sz="0" w:space="0" w:color="auto"/>
                <w:right w:val="none" w:sz="0" w:space="0" w:color="auto"/>
              </w:divBdr>
              <w:divsChild>
                <w:div w:id="927345962">
                  <w:marLeft w:val="0"/>
                  <w:marRight w:val="0"/>
                  <w:marTop w:val="0"/>
                  <w:marBottom w:val="0"/>
                  <w:divBdr>
                    <w:top w:val="none" w:sz="0" w:space="0" w:color="auto"/>
                    <w:left w:val="none" w:sz="0" w:space="0" w:color="auto"/>
                    <w:bottom w:val="none" w:sz="0" w:space="0" w:color="auto"/>
                    <w:right w:val="none" w:sz="0" w:space="0" w:color="auto"/>
                  </w:divBdr>
                </w:div>
              </w:divsChild>
            </w:div>
            <w:div w:id="346518993">
              <w:marLeft w:val="0"/>
              <w:marRight w:val="0"/>
              <w:marTop w:val="0"/>
              <w:marBottom w:val="0"/>
              <w:divBdr>
                <w:top w:val="none" w:sz="0" w:space="0" w:color="auto"/>
                <w:left w:val="none" w:sz="0" w:space="0" w:color="auto"/>
                <w:bottom w:val="none" w:sz="0" w:space="0" w:color="auto"/>
                <w:right w:val="none" w:sz="0" w:space="0" w:color="auto"/>
              </w:divBdr>
              <w:divsChild>
                <w:div w:id="201482751">
                  <w:marLeft w:val="0"/>
                  <w:marRight w:val="0"/>
                  <w:marTop w:val="0"/>
                  <w:marBottom w:val="0"/>
                  <w:divBdr>
                    <w:top w:val="none" w:sz="0" w:space="0" w:color="auto"/>
                    <w:left w:val="none" w:sz="0" w:space="0" w:color="auto"/>
                    <w:bottom w:val="none" w:sz="0" w:space="0" w:color="auto"/>
                    <w:right w:val="none" w:sz="0" w:space="0" w:color="auto"/>
                  </w:divBdr>
                </w:div>
              </w:divsChild>
            </w:div>
            <w:div w:id="281352638">
              <w:marLeft w:val="0"/>
              <w:marRight w:val="0"/>
              <w:marTop w:val="0"/>
              <w:marBottom w:val="0"/>
              <w:divBdr>
                <w:top w:val="none" w:sz="0" w:space="0" w:color="auto"/>
                <w:left w:val="none" w:sz="0" w:space="0" w:color="auto"/>
                <w:bottom w:val="none" w:sz="0" w:space="0" w:color="auto"/>
                <w:right w:val="none" w:sz="0" w:space="0" w:color="auto"/>
              </w:divBdr>
              <w:divsChild>
                <w:div w:id="208419598">
                  <w:marLeft w:val="0"/>
                  <w:marRight w:val="0"/>
                  <w:marTop w:val="0"/>
                  <w:marBottom w:val="0"/>
                  <w:divBdr>
                    <w:top w:val="none" w:sz="0" w:space="0" w:color="auto"/>
                    <w:left w:val="none" w:sz="0" w:space="0" w:color="auto"/>
                    <w:bottom w:val="none" w:sz="0" w:space="0" w:color="auto"/>
                    <w:right w:val="none" w:sz="0" w:space="0" w:color="auto"/>
                  </w:divBdr>
                </w:div>
              </w:divsChild>
            </w:div>
            <w:div w:id="355733450">
              <w:marLeft w:val="0"/>
              <w:marRight w:val="0"/>
              <w:marTop w:val="0"/>
              <w:marBottom w:val="0"/>
              <w:divBdr>
                <w:top w:val="none" w:sz="0" w:space="0" w:color="auto"/>
                <w:left w:val="none" w:sz="0" w:space="0" w:color="auto"/>
                <w:bottom w:val="none" w:sz="0" w:space="0" w:color="auto"/>
                <w:right w:val="none" w:sz="0" w:space="0" w:color="auto"/>
              </w:divBdr>
              <w:divsChild>
                <w:div w:id="1761021744">
                  <w:marLeft w:val="0"/>
                  <w:marRight w:val="0"/>
                  <w:marTop w:val="0"/>
                  <w:marBottom w:val="0"/>
                  <w:divBdr>
                    <w:top w:val="none" w:sz="0" w:space="0" w:color="auto"/>
                    <w:left w:val="none" w:sz="0" w:space="0" w:color="auto"/>
                    <w:bottom w:val="none" w:sz="0" w:space="0" w:color="auto"/>
                    <w:right w:val="none" w:sz="0" w:space="0" w:color="auto"/>
                  </w:divBdr>
                </w:div>
                <w:div w:id="886070125">
                  <w:marLeft w:val="0"/>
                  <w:marRight w:val="0"/>
                  <w:marTop w:val="0"/>
                  <w:marBottom w:val="0"/>
                  <w:divBdr>
                    <w:top w:val="none" w:sz="0" w:space="0" w:color="auto"/>
                    <w:left w:val="none" w:sz="0" w:space="0" w:color="auto"/>
                    <w:bottom w:val="none" w:sz="0" w:space="0" w:color="auto"/>
                    <w:right w:val="none" w:sz="0" w:space="0" w:color="auto"/>
                  </w:divBdr>
                </w:div>
              </w:divsChild>
            </w:div>
            <w:div w:id="1453863179">
              <w:marLeft w:val="0"/>
              <w:marRight w:val="0"/>
              <w:marTop w:val="0"/>
              <w:marBottom w:val="0"/>
              <w:divBdr>
                <w:top w:val="none" w:sz="0" w:space="0" w:color="auto"/>
                <w:left w:val="none" w:sz="0" w:space="0" w:color="auto"/>
                <w:bottom w:val="none" w:sz="0" w:space="0" w:color="auto"/>
                <w:right w:val="none" w:sz="0" w:space="0" w:color="auto"/>
              </w:divBdr>
              <w:divsChild>
                <w:div w:id="1349983423">
                  <w:marLeft w:val="0"/>
                  <w:marRight w:val="0"/>
                  <w:marTop w:val="0"/>
                  <w:marBottom w:val="0"/>
                  <w:divBdr>
                    <w:top w:val="none" w:sz="0" w:space="0" w:color="auto"/>
                    <w:left w:val="none" w:sz="0" w:space="0" w:color="auto"/>
                    <w:bottom w:val="none" w:sz="0" w:space="0" w:color="auto"/>
                    <w:right w:val="none" w:sz="0" w:space="0" w:color="auto"/>
                  </w:divBdr>
                </w:div>
              </w:divsChild>
            </w:div>
            <w:div w:id="1678728001">
              <w:marLeft w:val="0"/>
              <w:marRight w:val="0"/>
              <w:marTop w:val="0"/>
              <w:marBottom w:val="0"/>
              <w:divBdr>
                <w:top w:val="none" w:sz="0" w:space="0" w:color="auto"/>
                <w:left w:val="none" w:sz="0" w:space="0" w:color="auto"/>
                <w:bottom w:val="none" w:sz="0" w:space="0" w:color="auto"/>
                <w:right w:val="none" w:sz="0" w:space="0" w:color="auto"/>
              </w:divBdr>
              <w:divsChild>
                <w:div w:id="204149233">
                  <w:marLeft w:val="0"/>
                  <w:marRight w:val="0"/>
                  <w:marTop w:val="0"/>
                  <w:marBottom w:val="0"/>
                  <w:divBdr>
                    <w:top w:val="none" w:sz="0" w:space="0" w:color="auto"/>
                    <w:left w:val="none" w:sz="0" w:space="0" w:color="auto"/>
                    <w:bottom w:val="none" w:sz="0" w:space="0" w:color="auto"/>
                    <w:right w:val="none" w:sz="0" w:space="0" w:color="auto"/>
                  </w:divBdr>
                </w:div>
              </w:divsChild>
            </w:div>
            <w:div w:id="261575003">
              <w:marLeft w:val="0"/>
              <w:marRight w:val="0"/>
              <w:marTop w:val="0"/>
              <w:marBottom w:val="0"/>
              <w:divBdr>
                <w:top w:val="none" w:sz="0" w:space="0" w:color="auto"/>
                <w:left w:val="none" w:sz="0" w:space="0" w:color="auto"/>
                <w:bottom w:val="none" w:sz="0" w:space="0" w:color="auto"/>
                <w:right w:val="none" w:sz="0" w:space="0" w:color="auto"/>
              </w:divBdr>
              <w:divsChild>
                <w:div w:id="189931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070450">
          <w:marLeft w:val="0"/>
          <w:marRight w:val="0"/>
          <w:marTop w:val="0"/>
          <w:marBottom w:val="0"/>
          <w:divBdr>
            <w:top w:val="none" w:sz="0" w:space="0" w:color="auto"/>
            <w:left w:val="none" w:sz="0" w:space="0" w:color="auto"/>
            <w:bottom w:val="none" w:sz="0" w:space="0" w:color="auto"/>
            <w:right w:val="none" w:sz="0" w:space="0" w:color="auto"/>
          </w:divBdr>
          <w:divsChild>
            <w:div w:id="296374895">
              <w:marLeft w:val="0"/>
              <w:marRight w:val="0"/>
              <w:marTop w:val="0"/>
              <w:marBottom w:val="0"/>
              <w:divBdr>
                <w:top w:val="none" w:sz="0" w:space="0" w:color="auto"/>
                <w:left w:val="none" w:sz="0" w:space="0" w:color="auto"/>
                <w:bottom w:val="none" w:sz="0" w:space="0" w:color="auto"/>
                <w:right w:val="none" w:sz="0" w:space="0" w:color="auto"/>
              </w:divBdr>
              <w:divsChild>
                <w:div w:id="2119447399">
                  <w:marLeft w:val="0"/>
                  <w:marRight w:val="0"/>
                  <w:marTop w:val="0"/>
                  <w:marBottom w:val="0"/>
                  <w:divBdr>
                    <w:top w:val="none" w:sz="0" w:space="0" w:color="auto"/>
                    <w:left w:val="none" w:sz="0" w:space="0" w:color="auto"/>
                    <w:bottom w:val="none" w:sz="0" w:space="0" w:color="auto"/>
                    <w:right w:val="none" w:sz="0" w:space="0" w:color="auto"/>
                  </w:divBdr>
                </w:div>
              </w:divsChild>
            </w:div>
            <w:div w:id="111247059">
              <w:marLeft w:val="0"/>
              <w:marRight w:val="0"/>
              <w:marTop w:val="0"/>
              <w:marBottom w:val="0"/>
              <w:divBdr>
                <w:top w:val="none" w:sz="0" w:space="0" w:color="auto"/>
                <w:left w:val="none" w:sz="0" w:space="0" w:color="auto"/>
                <w:bottom w:val="none" w:sz="0" w:space="0" w:color="auto"/>
                <w:right w:val="none" w:sz="0" w:space="0" w:color="auto"/>
              </w:divBdr>
              <w:divsChild>
                <w:div w:id="165636440">
                  <w:marLeft w:val="0"/>
                  <w:marRight w:val="0"/>
                  <w:marTop w:val="0"/>
                  <w:marBottom w:val="0"/>
                  <w:divBdr>
                    <w:top w:val="none" w:sz="0" w:space="0" w:color="auto"/>
                    <w:left w:val="none" w:sz="0" w:space="0" w:color="auto"/>
                    <w:bottom w:val="none" w:sz="0" w:space="0" w:color="auto"/>
                    <w:right w:val="none" w:sz="0" w:space="0" w:color="auto"/>
                  </w:divBdr>
                </w:div>
              </w:divsChild>
            </w:div>
            <w:div w:id="673530640">
              <w:marLeft w:val="0"/>
              <w:marRight w:val="0"/>
              <w:marTop w:val="0"/>
              <w:marBottom w:val="0"/>
              <w:divBdr>
                <w:top w:val="none" w:sz="0" w:space="0" w:color="auto"/>
                <w:left w:val="none" w:sz="0" w:space="0" w:color="auto"/>
                <w:bottom w:val="none" w:sz="0" w:space="0" w:color="auto"/>
                <w:right w:val="none" w:sz="0" w:space="0" w:color="auto"/>
              </w:divBdr>
              <w:divsChild>
                <w:div w:id="377508267">
                  <w:marLeft w:val="0"/>
                  <w:marRight w:val="0"/>
                  <w:marTop w:val="0"/>
                  <w:marBottom w:val="0"/>
                  <w:divBdr>
                    <w:top w:val="none" w:sz="0" w:space="0" w:color="auto"/>
                    <w:left w:val="none" w:sz="0" w:space="0" w:color="auto"/>
                    <w:bottom w:val="none" w:sz="0" w:space="0" w:color="auto"/>
                    <w:right w:val="none" w:sz="0" w:space="0" w:color="auto"/>
                  </w:divBdr>
                </w:div>
              </w:divsChild>
            </w:div>
            <w:div w:id="1105151680">
              <w:marLeft w:val="0"/>
              <w:marRight w:val="0"/>
              <w:marTop w:val="0"/>
              <w:marBottom w:val="0"/>
              <w:divBdr>
                <w:top w:val="none" w:sz="0" w:space="0" w:color="auto"/>
                <w:left w:val="none" w:sz="0" w:space="0" w:color="auto"/>
                <w:bottom w:val="none" w:sz="0" w:space="0" w:color="auto"/>
                <w:right w:val="none" w:sz="0" w:space="0" w:color="auto"/>
              </w:divBdr>
              <w:divsChild>
                <w:div w:id="1245187315">
                  <w:marLeft w:val="0"/>
                  <w:marRight w:val="0"/>
                  <w:marTop w:val="0"/>
                  <w:marBottom w:val="0"/>
                  <w:divBdr>
                    <w:top w:val="none" w:sz="0" w:space="0" w:color="auto"/>
                    <w:left w:val="none" w:sz="0" w:space="0" w:color="auto"/>
                    <w:bottom w:val="none" w:sz="0" w:space="0" w:color="auto"/>
                    <w:right w:val="none" w:sz="0" w:space="0" w:color="auto"/>
                  </w:divBdr>
                </w:div>
              </w:divsChild>
            </w:div>
            <w:div w:id="956260430">
              <w:marLeft w:val="0"/>
              <w:marRight w:val="0"/>
              <w:marTop w:val="0"/>
              <w:marBottom w:val="0"/>
              <w:divBdr>
                <w:top w:val="none" w:sz="0" w:space="0" w:color="auto"/>
                <w:left w:val="none" w:sz="0" w:space="0" w:color="auto"/>
                <w:bottom w:val="none" w:sz="0" w:space="0" w:color="auto"/>
                <w:right w:val="none" w:sz="0" w:space="0" w:color="auto"/>
              </w:divBdr>
              <w:divsChild>
                <w:div w:id="1207833132">
                  <w:marLeft w:val="0"/>
                  <w:marRight w:val="0"/>
                  <w:marTop w:val="0"/>
                  <w:marBottom w:val="0"/>
                  <w:divBdr>
                    <w:top w:val="none" w:sz="0" w:space="0" w:color="auto"/>
                    <w:left w:val="none" w:sz="0" w:space="0" w:color="auto"/>
                    <w:bottom w:val="none" w:sz="0" w:space="0" w:color="auto"/>
                    <w:right w:val="none" w:sz="0" w:space="0" w:color="auto"/>
                  </w:divBdr>
                </w:div>
              </w:divsChild>
            </w:div>
            <w:div w:id="87898024">
              <w:marLeft w:val="0"/>
              <w:marRight w:val="0"/>
              <w:marTop w:val="0"/>
              <w:marBottom w:val="0"/>
              <w:divBdr>
                <w:top w:val="none" w:sz="0" w:space="0" w:color="auto"/>
                <w:left w:val="none" w:sz="0" w:space="0" w:color="auto"/>
                <w:bottom w:val="none" w:sz="0" w:space="0" w:color="auto"/>
                <w:right w:val="none" w:sz="0" w:space="0" w:color="auto"/>
              </w:divBdr>
              <w:divsChild>
                <w:div w:id="1184595386">
                  <w:marLeft w:val="0"/>
                  <w:marRight w:val="0"/>
                  <w:marTop w:val="0"/>
                  <w:marBottom w:val="0"/>
                  <w:divBdr>
                    <w:top w:val="none" w:sz="0" w:space="0" w:color="auto"/>
                    <w:left w:val="none" w:sz="0" w:space="0" w:color="auto"/>
                    <w:bottom w:val="none" w:sz="0" w:space="0" w:color="auto"/>
                    <w:right w:val="none" w:sz="0" w:space="0" w:color="auto"/>
                  </w:divBdr>
                </w:div>
              </w:divsChild>
            </w:div>
            <w:div w:id="208763360">
              <w:marLeft w:val="0"/>
              <w:marRight w:val="0"/>
              <w:marTop w:val="0"/>
              <w:marBottom w:val="0"/>
              <w:divBdr>
                <w:top w:val="none" w:sz="0" w:space="0" w:color="auto"/>
                <w:left w:val="none" w:sz="0" w:space="0" w:color="auto"/>
                <w:bottom w:val="none" w:sz="0" w:space="0" w:color="auto"/>
                <w:right w:val="none" w:sz="0" w:space="0" w:color="auto"/>
              </w:divBdr>
              <w:divsChild>
                <w:div w:id="1316840949">
                  <w:marLeft w:val="0"/>
                  <w:marRight w:val="0"/>
                  <w:marTop w:val="0"/>
                  <w:marBottom w:val="0"/>
                  <w:divBdr>
                    <w:top w:val="none" w:sz="0" w:space="0" w:color="auto"/>
                    <w:left w:val="none" w:sz="0" w:space="0" w:color="auto"/>
                    <w:bottom w:val="none" w:sz="0" w:space="0" w:color="auto"/>
                    <w:right w:val="none" w:sz="0" w:space="0" w:color="auto"/>
                  </w:divBdr>
                </w:div>
              </w:divsChild>
            </w:div>
            <w:div w:id="1465276805">
              <w:marLeft w:val="0"/>
              <w:marRight w:val="0"/>
              <w:marTop w:val="0"/>
              <w:marBottom w:val="0"/>
              <w:divBdr>
                <w:top w:val="none" w:sz="0" w:space="0" w:color="auto"/>
                <w:left w:val="none" w:sz="0" w:space="0" w:color="auto"/>
                <w:bottom w:val="none" w:sz="0" w:space="0" w:color="auto"/>
                <w:right w:val="none" w:sz="0" w:space="0" w:color="auto"/>
              </w:divBdr>
              <w:divsChild>
                <w:div w:id="58106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12491">
          <w:marLeft w:val="0"/>
          <w:marRight w:val="0"/>
          <w:marTop w:val="0"/>
          <w:marBottom w:val="0"/>
          <w:divBdr>
            <w:top w:val="none" w:sz="0" w:space="0" w:color="auto"/>
            <w:left w:val="none" w:sz="0" w:space="0" w:color="auto"/>
            <w:bottom w:val="none" w:sz="0" w:space="0" w:color="auto"/>
            <w:right w:val="none" w:sz="0" w:space="0" w:color="auto"/>
          </w:divBdr>
          <w:divsChild>
            <w:div w:id="714502996">
              <w:marLeft w:val="0"/>
              <w:marRight w:val="0"/>
              <w:marTop w:val="0"/>
              <w:marBottom w:val="0"/>
              <w:divBdr>
                <w:top w:val="none" w:sz="0" w:space="0" w:color="auto"/>
                <w:left w:val="none" w:sz="0" w:space="0" w:color="auto"/>
                <w:bottom w:val="none" w:sz="0" w:space="0" w:color="auto"/>
                <w:right w:val="none" w:sz="0" w:space="0" w:color="auto"/>
              </w:divBdr>
              <w:divsChild>
                <w:div w:id="121558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134546">
      <w:bodyDiv w:val="1"/>
      <w:marLeft w:val="0"/>
      <w:marRight w:val="0"/>
      <w:marTop w:val="0"/>
      <w:marBottom w:val="0"/>
      <w:divBdr>
        <w:top w:val="none" w:sz="0" w:space="0" w:color="auto"/>
        <w:left w:val="none" w:sz="0" w:space="0" w:color="auto"/>
        <w:bottom w:val="none" w:sz="0" w:space="0" w:color="auto"/>
        <w:right w:val="none" w:sz="0" w:space="0" w:color="auto"/>
      </w:divBdr>
      <w:divsChild>
        <w:div w:id="1230842975">
          <w:marLeft w:val="0"/>
          <w:marRight w:val="0"/>
          <w:marTop w:val="0"/>
          <w:marBottom w:val="0"/>
          <w:divBdr>
            <w:top w:val="none" w:sz="0" w:space="0" w:color="auto"/>
            <w:left w:val="none" w:sz="0" w:space="0" w:color="auto"/>
            <w:bottom w:val="none" w:sz="0" w:space="0" w:color="auto"/>
            <w:right w:val="none" w:sz="0" w:space="0" w:color="auto"/>
          </w:divBdr>
          <w:divsChild>
            <w:div w:id="1555895076">
              <w:marLeft w:val="0"/>
              <w:marRight w:val="0"/>
              <w:marTop w:val="0"/>
              <w:marBottom w:val="0"/>
              <w:divBdr>
                <w:top w:val="none" w:sz="0" w:space="0" w:color="auto"/>
                <w:left w:val="none" w:sz="0" w:space="0" w:color="auto"/>
                <w:bottom w:val="none" w:sz="0" w:space="0" w:color="auto"/>
                <w:right w:val="none" w:sz="0" w:space="0" w:color="auto"/>
              </w:divBdr>
              <w:divsChild>
                <w:div w:id="58222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Walters</dc:creator>
  <cp:keywords/>
  <dc:description/>
  <cp:lastModifiedBy>Philippa Penfold</cp:lastModifiedBy>
  <cp:revision>2</cp:revision>
  <dcterms:created xsi:type="dcterms:W3CDTF">2023-06-14T10:08:00Z</dcterms:created>
  <dcterms:modified xsi:type="dcterms:W3CDTF">2023-06-14T10:08:00Z</dcterms:modified>
</cp:coreProperties>
</file>